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97CF" w14:textId="77777777" w:rsidR="007B08CE" w:rsidRPr="007B08CE" w:rsidRDefault="007B08CE" w:rsidP="007B08CE">
      <w:pPr>
        <w:jc w:val="center"/>
        <w:rPr>
          <w:rFonts w:ascii="&amp;quot" w:hAnsi="&amp;quot"/>
          <w:color w:val="3E3E3E"/>
        </w:rPr>
      </w:pPr>
      <w:r w:rsidRPr="007B08CE">
        <w:rPr>
          <w:rFonts w:ascii="&amp;quot" w:hAnsi="&amp;quot"/>
          <w:color w:val="3E3E3E"/>
        </w:rPr>
        <w:t>September 22, 2019</w:t>
      </w:r>
    </w:p>
    <w:p w14:paraId="33983BBB" w14:textId="425BBDA3" w:rsidR="00296840" w:rsidRPr="00296840" w:rsidRDefault="007B08CE" w:rsidP="007B08CE">
      <w:pPr>
        <w:jc w:val="center"/>
      </w:pPr>
      <w:r w:rsidRPr="007B08CE">
        <w:rPr>
          <w:rFonts w:ascii="&amp;quot" w:hAnsi="&amp;quot"/>
          <w:color w:val="3E3E3E"/>
        </w:rPr>
        <w:t>Sundays 9:00 am                                                                     WKYT     Channel 27-2</w:t>
      </w:r>
      <w:bookmarkStart w:id="0" w:name="_GoBack"/>
      <w:bookmarkEnd w:id="0"/>
      <w:r w:rsidR="00296840">
        <w:rPr>
          <w:rFonts w:ascii="&amp;quot" w:hAnsi="&amp;quot"/>
          <w:color w:val="3E3E3E"/>
        </w:rPr>
        <w:br/>
      </w:r>
      <w:r w:rsidR="00296840">
        <w:rPr>
          <w:rFonts w:ascii="&amp;quot" w:hAnsi="&amp;quot"/>
          <w:b/>
          <w:bCs/>
          <w:i/>
          <w:iCs/>
          <w:color w:val="3E3E3E"/>
        </w:rPr>
        <w:t>It is requested that all children under the age of five stay in our nursery </w:t>
      </w:r>
      <w:r w:rsidR="00296840">
        <w:rPr>
          <w:rFonts w:ascii="&amp;quot" w:hAnsi="&amp;quot"/>
          <w:color w:val="3E3E3E"/>
        </w:rPr>
        <w:br/>
      </w:r>
      <w:r w:rsidR="00296840">
        <w:rPr>
          <w:rFonts w:ascii="&amp;quot" w:hAnsi="&amp;quot"/>
          <w:b/>
          <w:bCs/>
          <w:i/>
          <w:iCs/>
          <w:color w:val="3E3E3E"/>
        </w:rPr>
        <w:t>so there will be no distractions during the preaching of the Gospel.</w:t>
      </w:r>
      <w:r w:rsidR="00296840">
        <w:rPr>
          <w:rFonts w:ascii="&amp;quot" w:hAnsi="&amp;quot"/>
          <w:color w:val="3E3E3E"/>
        </w:rPr>
        <w:br/>
        <w:t> </w:t>
      </w:r>
      <w:r w:rsidR="00296840">
        <w:rPr>
          <w:rFonts w:ascii="&amp;quot" w:hAnsi="&amp;quot"/>
          <w:color w:val="3E3E3E"/>
        </w:rPr>
        <w:br/>
        <w:t>HYMN</w:t>
      </w:r>
      <w:r w:rsidR="00296840">
        <w:rPr>
          <w:rFonts w:ascii="&amp;quot" w:hAnsi="&amp;quot"/>
          <w:color w:val="3E3E3E"/>
        </w:rPr>
        <w:br/>
        <w:t>Wherewith shall we approach the Lord</w:t>
      </w:r>
      <w:r w:rsidR="00296840">
        <w:rPr>
          <w:rFonts w:ascii="&amp;quot" w:hAnsi="&amp;quot"/>
          <w:color w:val="3E3E3E"/>
        </w:rPr>
        <w:br/>
        <w:t>And bow before His throne?</w:t>
      </w:r>
      <w:r w:rsidR="00296840">
        <w:rPr>
          <w:rFonts w:ascii="&amp;quot" w:hAnsi="&amp;quot"/>
          <w:color w:val="3E3E3E"/>
        </w:rPr>
        <w:br/>
        <w:t>By trusting in His faithful Word</w:t>
      </w:r>
      <w:r w:rsidR="00296840">
        <w:rPr>
          <w:rFonts w:ascii="&amp;quot" w:hAnsi="&amp;quot"/>
          <w:color w:val="3E3E3E"/>
        </w:rPr>
        <w:br/>
        <w:t>And pleading Christ alone.</w:t>
      </w:r>
      <w:r w:rsidR="00296840">
        <w:rPr>
          <w:rFonts w:ascii="&amp;quot" w:hAnsi="&amp;quot"/>
          <w:color w:val="3E3E3E"/>
        </w:rPr>
        <w:br/>
        <w:t> </w:t>
      </w:r>
      <w:r w:rsidR="00296840">
        <w:rPr>
          <w:rFonts w:ascii="&amp;quot" w:hAnsi="&amp;quot"/>
          <w:color w:val="3E3E3E"/>
        </w:rPr>
        <w:br/>
        <w:t>The blood, Thy righteousness, and love</w:t>
      </w:r>
      <w:r w:rsidR="00296840">
        <w:rPr>
          <w:rFonts w:ascii="&amp;quot" w:hAnsi="&amp;quot"/>
          <w:color w:val="3E3E3E"/>
        </w:rPr>
        <w:br/>
        <w:t>Of Jesus will we plead</w:t>
      </w:r>
      <w:r w:rsidR="00296840">
        <w:rPr>
          <w:rFonts w:ascii="&amp;quot" w:hAnsi="&amp;quot"/>
          <w:color w:val="3E3E3E"/>
        </w:rPr>
        <w:br/>
        <w:t>He lives within the veil above</w:t>
      </w:r>
      <w:r w:rsidR="00296840">
        <w:rPr>
          <w:rFonts w:ascii="&amp;quot" w:hAnsi="&amp;quot"/>
          <w:color w:val="3E3E3E"/>
        </w:rPr>
        <w:br/>
        <w:t>For us to intercede.</w:t>
      </w:r>
      <w:r w:rsidR="00296840">
        <w:rPr>
          <w:rFonts w:ascii="&amp;quot" w:hAnsi="&amp;quot"/>
          <w:color w:val="3E3E3E"/>
        </w:rPr>
        <w:br/>
        <w:t> </w:t>
      </w:r>
      <w:r w:rsidR="00296840">
        <w:rPr>
          <w:rFonts w:ascii="&amp;quot" w:hAnsi="&amp;quot"/>
          <w:color w:val="3E3E3E"/>
        </w:rPr>
        <w:br/>
        <w:t>Sure ground and sure foundation, too</w:t>
      </w:r>
      <w:r w:rsidR="00296840">
        <w:rPr>
          <w:rFonts w:ascii="&amp;quot" w:hAnsi="&amp;quot"/>
          <w:color w:val="3E3E3E"/>
        </w:rPr>
        <w:br/>
        <w:t>We find in His dear Name</w:t>
      </w:r>
      <w:r w:rsidR="00296840">
        <w:rPr>
          <w:rFonts w:ascii="&amp;quot" w:hAnsi="&amp;quot"/>
          <w:color w:val="3E3E3E"/>
        </w:rPr>
        <w:br/>
        <w:t xml:space="preserve">Herein we </w:t>
      </w:r>
      <w:proofErr w:type="spellStart"/>
      <w:r w:rsidR="00296840">
        <w:rPr>
          <w:rFonts w:ascii="&amp;quot" w:hAnsi="&amp;quot"/>
          <w:color w:val="3E3E3E"/>
        </w:rPr>
        <w:t>ev’ry</w:t>
      </w:r>
      <w:proofErr w:type="spellEnd"/>
      <w:r w:rsidR="00296840">
        <w:rPr>
          <w:rFonts w:ascii="&amp;quot" w:hAnsi="&amp;quot"/>
          <w:color w:val="3E3E3E"/>
        </w:rPr>
        <w:t xml:space="preserve"> blessing view</w:t>
      </w:r>
      <w:r w:rsidR="00296840">
        <w:rPr>
          <w:rFonts w:ascii="&amp;quot" w:hAnsi="&amp;quot"/>
          <w:color w:val="3E3E3E"/>
        </w:rPr>
        <w:br/>
        <w:t xml:space="preserve">And </w:t>
      </w:r>
      <w:proofErr w:type="spellStart"/>
      <w:r w:rsidR="00296840">
        <w:rPr>
          <w:rFonts w:ascii="&amp;quot" w:hAnsi="&amp;quot"/>
          <w:color w:val="3E3E3E"/>
        </w:rPr>
        <w:t>ev’ry</w:t>
      </w:r>
      <w:proofErr w:type="spellEnd"/>
      <w:r w:rsidR="00296840">
        <w:rPr>
          <w:rFonts w:ascii="&amp;quot" w:hAnsi="&amp;quot"/>
          <w:color w:val="3E3E3E"/>
        </w:rPr>
        <w:t xml:space="preserve"> favor claim.</w:t>
      </w:r>
      <w:r w:rsidR="00296840">
        <w:rPr>
          <w:rFonts w:ascii="&amp;quot" w:hAnsi="&amp;quot"/>
          <w:color w:val="3E3E3E"/>
        </w:rPr>
        <w:br/>
        <w:t> </w:t>
      </w:r>
      <w:r w:rsidR="00296840">
        <w:rPr>
          <w:rFonts w:ascii="&amp;quot" w:hAnsi="&amp;quot"/>
          <w:color w:val="3E3E3E"/>
        </w:rPr>
        <w:br/>
        <w:t>Then let His Name forever be</w:t>
      </w:r>
      <w:r w:rsidR="00296840">
        <w:rPr>
          <w:rFonts w:ascii="&amp;quot" w:hAnsi="&amp;quot"/>
          <w:color w:val="3E3E3E"/>
        </w:rPr>
        <w:br/>
        <w:t>To us supremely dear</w:t>
      </w:r>
      <w:r w:rsidR="00296840">
        <w:rPr>
          <w:rFonts w:ascii="&amp;quot" w:hAnsi="&amp;quot"/>
          <w:color w:val="3E3E3E"/>
        </w:rPr>
        <w:br/>
        <w:t>Our only, all-prevailing plea</w:t>
      </w:r>
      <w:r w:rsidR="00296840">
        <w:rPr>
          <w:rFonts w:ascii="&amp;quot" w:hAnsi="&amp;quot"/>
          <w:color w:val="3E3E3E"/>
        </w:rPr>
        <w:br/>
        <w:t>For all our hope is there.</w:t>
      </w:r>
      <w:r w:rsidR="00296840">
        <w:rPr>
          <w:rFonts w:ascii="&amp;quot" w:hAnsi="&amp;quot"/>
          <w:color w:val="3E3E3E"/>
        </w:rPr>
        <w:br/>
        <w:t> </w:t>
      </w:r>
      <w:r w:rsidR="00296840">
        <w:rPr>
          <w:rFonts w:ascii="&amp;quot" w:hAnsi="&amp;quot"/>
          <w:color w:val="3E3E3E"/>
        </w:rPr>
        <w:br/>
        <w:t>(Tune: “O God Our Help” p. 10)</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            Frank Tate, pastor of the Hurricane Road Grace Church in Ashland will bring the message tonight.  </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Birthdays </w:t>
      </w:r>
      <w:r w:rsidR="00296840">
        <w:rPr>
          <w:rFonts w:ascii="&amp;quot" w:hAnsi="&amp;quot"/>
          <w:color w:val="3E3E3E"/>
        </w:rPr>
        <w:br/>
        <w:t>23rd– Holly Hardin            25th – Annie Martin            25th– Darrell Williams  </w:t>
      </w:r>
      <w:r w:rsidR="00296840">
        <w:rPr>
          <w:rFonts w:ascii="&amp;quot" w:hAnsi="&amp;quot"/>
          <w:color w:val="3E3E3E"/>
        </w:rPr>
        <w:br/>
        <w:t xml:space="preserve"> 26th– Amanda Mohr         27th– Ryleigh DuFour         27th– Gavin </w:t>
      </w:r>
      <w:proofErr w:type="spellStart"/>
      <w:r w:rsidR="00296840">
        <w:rPr>
          <w:rFonts w:ascii="&amp;quot" w:hAnsi="&amp;quot"/>
          <w:color w:val="3E3E3E"/>
        </w:rPr>
        <w:t>Gillispie</w:t>
      </w:r>
      <w:proofErr w:type="spellEnd"/>
      <w:r w:rsidR="00296840">
        <w:rPr>
          <w:rFonts w:ascii="&amp;quot" w:hAnsi="&amp;quot"/>
          <w:color w:val="3E3E3E"/>
        </w:rPr>
        <w:t> </w:t>
      </w:r>
      <w:r w:rsidR="00296840">
        <w:rPr>
          <w:rFonts w:ascii="&amp;quot" w:hAnsi="&amp;quot"/>
          <w:color w:val="3E3E3E"/>
        </w:rPr>
        <w:br/>
        <w:t>28th– John Parker                                                             28th– Ben Walmsley</w:t>
      </w:r>
      <w:r w:rsidR="00296840">
        <w:rPr>
          <w:rFonts w:ascii="&amp;quot" w:hAnsi="&amp;quot"/>
          <w:color w:val="3E3E3E"/>
        </w:rPr>
        <w:br/>
        <w:t> </w:t>
      </w:r>
      <w:r w:rsidR="00296840">
        <w:rPr>
          <w:rFonts w:ascii="&amp;quot" w:hAnsi="&amp;quot"/>
          <w:color w:val="3E3E3E"/>
        </w:rPr>
        <w:br/>
      </w:r>
      <w:r w:rsidR="00296840">
        <w:rPr>
          <w:rFonts w:ascii="&amp;quot" w:hAnsi="&amp;quot"/>
          <w:i/>
          <w:iCs/>
          <w:color w:val="3E3E3E"/>
        </w:rPr>
        <w:t> </w:t>
      </w:r>
      <w:r w:rsidR="00296840">
        <w:rPr>
          <w:rFonts w:ascii="&amp;quot" w:hAnsi="&amp;quot"/>
          <w:color w:val="3E3E3E"/>
        </w:rPr>
        <w:br/>
      </w:r>
      <w:r w:rsidR="00296840">
        <w:rPr>
          <w:rFonts w:ascii="&amp;quot" w:hAnsi="&amp;quot"/>
          <w:i/>
          <w:iCs/>
          <w:color w:val="3E3E3E"/>
        </w:rPr>
        <w:t>            “In the mouth of the foolish is a rod of pride: but the lips of the wise shall preserve them.”    - Proverbs 14:3</w:t>
      </w:r>
      <w:r w:rsidR="00296840">
        <w:rPr>
          <w:rFonts w:ascii="&amp;quot" w:hAnsi="&amp;quot"/>
          <w:color w:val="3E3E3E"/>
        </w:rPr>
        <w:br/>
      </w:r>
      <w:r w:rsidR="00296840">
        <w:rPr>
          <w:rFonts w:ascii="&amp;quot" w:hAnsi="&amp;quot"/>
          <w:i/>
          <w:iCs/>
          <w:color w:val="3E3E3E"/>
        </w:rPr>
        <w:t> </w:t>
      </w:r>
      <w:r w:rsidR="00296840">
        <w:rPr>
          <w:rFonts w:ascii="&amp;quot" w:hAnsi="&amp;quot"/>
          <w:i/>
          <w:iCs/>
          <w:color w:val="3E3E3E"/>
        </w:rPr>
        <w:br/>
      </w:r>
      <w:r w:rsidR="00296840">
        <w:rPr>
          <w:rFonts w:ascii="&amp;quot" w:hAnsi="&amp;quot"/>
          <w:color w:val="3E3E3E"/>
        </w:rPr>
        <w:br/>
        <w:t xml:space="preserve">            Liberty is freedom to do what you want to do. Liberty to an unbeliever is freedom to sin without restraint and without any temporal or eternal consequences.  To the believer, liberty is to </w:t>
      </w:r>
      <w:r w:rsidR="00296840">
        <w:rPr>
          <w:rFonts w:ascii="&amp;quot" w:hAnsi="&amp;quot"/>
          <w:color w:val="3E3E3E"/>
        </w:rPr>
        <w:lastRenderedPageBreak/>
        <w:t>not sin.  He will only feel completely free when he is no longer a sinner.  And that day is coming.  </w:t>
      </w:r>
      <w:r w:rsidR="00296840">
        <w:rPr>
          <w:rFonts w:ascii="&amp;quot" w:hAnsi="&amp;quot"/>
          <w:i/>
          <w:iCs/>
          <w:color w:val="3E3E3E"/>
        </w:rPr>
        <w:t>“I will be satisfied when I awake in Thy likeness.”  </w:t>
      </w:r>
      <w:r w:rsidR="00296840">
        <w:rPr>
          <w:rFonts w:ascii="&amp;quot" w:hAnsi="&amp;quot"/>
          <w:color w:val="3E3E3E"/>
        </w:rPr>
        <w:t>Liberty is also being debt free. The unbeliever can never experience this.  He believes in salvation by works and knows nothing of the joy and peace of believing. The believer knows salvation is 100% in Christ, by grace.  He stands without debt before God’s holy law, and is perfect before God.  But he still has a good kind of debt. “Oh to grace how great a debtor, daily I’m constrained to be.”  </w:t>
      </w:r>
      <w:r w:rsidR="00296840">
        <w:rPr>
          <w:rFonts w:ascii="&amp;quot" w:hAnsi="&amp;quot"/>
          <w:color w:val="3E3E3E"/>
        </w:rPr>
        <w:br/>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            What is a good conscience?  It is not necessarily a clear conscience. That is generally a seared conscience that cannot see sin.  It is not a guilty conscience that acknowledges wrong doing. Simply acknowledging wrong doing does not take away the guilt.  A good conscience is a conscience that has nothing to feel guilty about!  In Christ I am justified.  I have nothing to feel guilty about.   </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t>            No sinner can or will turn to God until he has been turned by God.  None can or will call upon the Name of the Lord until they have been called, effectually and irresistibly called, by the Lord.  None can or will come to Christ for grace until Christ has come to him in grace.            </w:t>
      </w:r>
      <w:r w:rsidR="00296840">
        <w:rPr>
          <w:rFonts w:ascii="&amp;quot" w:hAnsi="&amp;quot"/>
          <w:i/>
          <w:iCs/>
          <w:color w:val="3E3E3E"/>
        </w:rPr>
        <w:t>   – Don Fortner</w:t>
      </w:r>
      <w:r w:rsidR="00296840">
        <w:rPr>
          <w:rFonts w:ascii="&amp;quot" w:hAnsi="&amp;quot"/>
          <w:color w:val="3E3E3E"/>
        </w:rPr>
        <w:br/>
        <w:t> </w:t>
      </w:r>
      <w:r w:rsidR="00296840">
        <w:rPr>
          <w:rFonts w:ascii="&amp;quot" w:hAnsi="&amp;quot"/>
          <w:color w:val="3E3E3E"/>
        </w:rPr>
        <w:br/>
        <w:t> </w:t>
      </w:r>
      <w:r w:rsidR="00296840">
        <w:rPr>
          <w:rFonts w:ascii="&amp;quot" w:hAnsi="&amp;quot"/>
          <w:color w:val="3E3E3E"/>
        </w:rPr>
        <w:br/>
      </w:r>
      <w:r w:rsidR="00296840">
        <w:rPr>
          <w:rFonts w:ascii="&amp;quot" w:hAnsi="&amp;quot"/>
          <w:i/>
          <w:iCs/>
          <w:color w:val="3E3E3E"/>
        </w:rPr>
        <w:t> </w:t>
      </w:r>
      <w:r w:rsidR="00296840">
        <w:rPr>
          <w:rFonts w:ascii="&amp;quot" w:hAnsi="&amp;quot"/>
          <w:color w:val="3E3E3E"/>
        </w:rPr>
        <w:br/>
        <w:t>            The doctrine of universal atonement is nothing short of universal blasphemy, asserting that Christ died in vain for the multitudes who perish in hell.  </w:t>
      </w:r>
      <w:r w:rsidR="00296840">
        <w:rPr>
          <w:rFonts w:ascii="&amp;quot" w:hAnsi="&amp;quot"/>
          <w:i/>
          <w:iCs/>
          <w:color w:val="3E3E3E"/>
        </w:rPr>
        <w:t>- Don Fortner</w:t>
      </w:r>
      <w:r w:rsidR="00296840">
        <w:rPr>
          <w:rFonts w:ascii="&amp;quot" w:hAnsi="&amp;quot"/>
          <w:color w:val="3E3E3E"/>
        </w:rPr>
        <w:br/>
      </w:r>
      <w:r w:rsidR="00296840">
        <w:rPr>
          <w:rFonts w:ascii="&amp;quot" w:hAnsi="&amp;quot"/>
          <w:i/>
          <w:iCs/>
          <w:color w:val="3E3E3E"/>
        </w:rPr>
        <w:t> </w:t>
      </w:r>
      <w:r w:rsidR="00296840">
        <w:rPr>
          <w:rFonts w:ascii="&amp;quot" w:hAnsi="&amp;quot"/>
          <w:color w:val="3E3E3E"/>
        </w:rPr>
        <w:br/>
        <w:t>THE GRACE OF GIVING</w:t>
      </w:r>
      <w:r w:rsidR="00296840">
        <w:rPr>
          <w:rFonts w:ascii="&amp;quot" w:hAnsi="&amp;quot"/>
          <w:color w:val="3E3E3E"/>
        </w:rPr>
        <w:br/>
        <w:t>            The average person who gives money, gifts, or charity to others may think that this gift of whatever he gives should be regarded as a </w:t>
      </w:r>
      <w:r w:rsidR="00296840">
        <w:rPr>
          <w:rFonts w:ascii="&amp;quot" w:hAnsi="&amp;quot"/>
          <w:b/>
          <w:bCs/>
          <w:color w:val="3E3E3E"/>
        </w:rPr>
        <w:t>loss</w:t>
      </w:r>
      <w:r w:rsidR="00296840">
        <w:rPr>
          <w:rFonts w:ascii="&amp;quot" w:hAnsi="&amp;quot"/>
          <w:color w:val="3E3E3E"/>
        </w:rPr>
        <w:t>, certainly not called </w:t>
      </w:r>
      <w:r w:rsidR="00296840">
        <w:rPr>
          <w:rFonts w:ascii="&amp;quot" w:hAnsi="&amp;quot"/>
          <w:b/>
          <w:bCs/>
          <w:color w:val="3E3E3E"/>
        </w:rPr>
        <w:t>assets</w:t>
      </w:r>
      <w:r w:rsidR="00296840">
        <w:rPr>
          <w:rFonts w:ascii="&amp;quot" w:hAnsi="&amp;quot"/>
          <w:color w:val="3E3E3E"/>
        </w:rPr>
        <w:t>, nor </w:t>
      </w:r>
      <w:r w:rsidR="00296840">
        <w:rPr>
          <w:rFonts w:ascii="&amp;quot" w:hAnsi="&amp;quot"/>
          <w:b/>
          <w:bCs/>
          <w:color w:val="3E3E3E"/>
        </w:rPr>
        <w:t>investments</w:t>
      </w:r>
      <w:r w:rsidR="00296840">
        <w:rPr>
          <w:rFonts w:ascii="&amp;quot" w:hAnsi="&amp;quot"/>
          <w:color w:val="3E3E3E"/>
        </w:rPr>
        <w:t>, nor </w:t>
      </w:r>
      <w:r w:rsidR="00296840">
        <w:rPr>
          <w:rFonts w:ascii="&amp;quot" w:hAnsi="&amp;quot"/>
          <w:b/>
          <w:bCs/>
          <w:color w:val="3E3E3E"/>
        </w:rPr>
        <w:t>gain</w:t>
      </w:r>
      <w:r w:rsidR="00296840">
        <w:rPr>
          <w:rFonts w:ascii="&amp;quot" w:hAnsi="&amp;quot"/>
          <w:color w:val="3E3E3E"/>
        </w:rPr>
        <w:t>.  That is not so!  Gifts, money, and alms given to others is no more loss than the seed planted by the farmer is loss.  Anything given to others in the name of Christ, for the glory of our Lord, is not loss, but gain in every way.  Our Lord said in </w:t>
      </w:r>
      <w:r w:rsidR="00296840">
        <w:rPr>
          <w:rFonts w:ascii="&amp;quot" w:hAnsi="&amp;quot"/>
          <w:i/>
          <w:iCs/>
          <w:color w:val="3E3E3E"/>
        </w:rPr>
        <w:t>Luke 6:38, “Give and it shall be given to you…for with the same measure that you give withal it shall be given to you.” </w:t>
      </w:r>
      <w:r w:rsidR="00296840">
        <w:rPr>
          <w:rFonts w:ascii="&amp;quot" w:hAnsi="&amp;quot"/>
          <w:color w:val="3E3E3E"/>
        </w:rPr>
        <w:t>This is saying that God uses the same container or measure for our gifts to us as we use for our gifts to others. The more generous the farmer is with his seed, the greater the harvest; and the more generous and loving and giving we are enabled to be, the greater the blessing.  No!  Giving is not a loss, but a great gain.  A person may say, “I cannot afford to give.”  If we have an understanding of the grace of God, we cannot afford </w:t>
      </w:r>
      <w:r w:rsidR="00296840">
        <w:rPr>
          <w:rFonts w:ascii="&amp;quot" w:hAnsi="&amp;quot"/>
          <w:b/>
          <w:bCs/>
          <w:color w:val="3E3E3E"/>
        </w:rPr>
        <w:t>not </w:t>
      </w:r>
      <w:r w:rsidR="00296840">
        <w:rPr>
          <w:rFonts w:ascii="&amp;quot" w:hAnsi="&amp;quot"/>
          <w:color w:val="3E3E3E"/>
        </w:rPr>
        <w:t>to give.   </w:t>
      </w:r>
      <w:r w:rsidR="00296840">
        <w:rPr>
          <w:rFonts w:ascii="&amp;quot" w:hAnsi="&amp;quot"/>
          <w:i/>
          <w:iCs/>
          <w:color w:val="3E3E3E"/>
        </w:rPr>
        <w:t>– Henry Mahan </w:t>
      </w:r>
      <w:r w:rsidR="00296840">
        <w:rPr>
          <w:rFonts w:ascii="&amp;quot" w:hAnsi="&amp;quot"/>
          <w:color w:val="3E3E3E"/>
        </w:rPr>
        <w:br/>
      </w:r>
      <w:r w:rsidR="00296840">
        <w:rPr>
          <w:rFonts w:ascii="&amp;quot" w:hAnsi="&amp;quot"/>
          <w:i/>
          <w:iCs/>
          <w:color w:val="3E3E3E"/>
        </w:rPr>
        <w:t> </w:t>
      </w:r>
      <w:r w:rsidR="00296840">
        <w:rPr>
          <w:rFonts w:ascii="&amp;quot" w:hAnsi="&amp;quot"/>
          <w:color w:val="3E3E3E"/>
        </w:rPr>
        <w:br/>
      </w:r>
      <w:r w:rsidR="00296840">
        <w:rPr>
          <w:rFonts w:ascii="&amp;quot" w:hAnsi="&amp;quot"/>
          <w:i/>
          <w:iCs/>
          <w:color w:val="3E3E3E"/>
        </w:rPr>
        <w:t> </w:t>
      </w:r>
      <w:r w:rsidR="00296840">
        <w:rPr>
          <w:rFonts w:ascii="&amp;quot" w:hAnsi="&amp;quot"/>
          <w:color w:val="3E3E3E"/>
        </w:rPr>
        <w:br/>
        <w:t> </w:t>
      </w:r>
      <w:r w:rsidR="00296840">
        <w:rPr>
          <w:rFonts w:ascii="&amp;quot" w:hAnsi="&amp;quot"/>
          <w:color w:val="3E3E3E"/>
        </w:rPr>
        <w:br/>
        <w:t>            The Bible plainly teaches the absolute sovereignty of the Lord Jesus Christ in the dispensation of His saving grace (</w:t>
      </w:r>
      <w:r w:rsidR="00296840">
        <w:rPr>
          <w:rFonts w:ascii="&amp;quot" w:hAnsi="&amp;quot"/>
          <w:i/>
          <w:iCs/>
          <w:color w:val="3E3E3E"/>
        </w:rPr>
        <w:t>John 5:21-26; 10:16; 17:2). </w:t>
      </w:r>
      <w:r w:rsidR="00296840">
        <w:rPr>
          <w:rFonts w:ascii="&amp;quot" w:hAnsi="&amp;quot"/>
          <w:color w:val="3E3E3E"/>
        </w:rPr>
        <w:t xml:space="preserve">The fact that dead sinners are made alive is clear proof of His sovereign power – only God can give life!  The fact that some are made alive and not all is clear proof of His free exercise of that sovereign power – there is no strength, no ability, and no degrees in death! The Bible also plainly teaches the graciousness of the Lord Jesus Christ in the </w:t>
      </w:r>
      <w:r w:rsidR="00296840">
        <w:rPr>
          <w:rFonts w:ascii="&amp;quot" w:hAnsi="&amp;quot"/>
          <w:color w:val="3E3E3E"/>
        </w:rPr>
        <w:lastRenderedPageBreak/>
        <w:t>exercise of His sovereign and universal rule. The fact that all of His enemies are not already in hell is clear proof of His graciousness (</w:t>
      </w:r>
      <w:r w:rsidR="00296840">
        <w:rPr>
          <w:rFonts w:ascii="&amp;quot" w:hAnsi="&amp;quot"/>
          <w:i/>
          <w:iCs/>
          <w:color w:val="3E3E3E"/>
        </w:rPr>
        <w:t>Psalm 2; Psalm 110; Rom. 9:21; Rev. 6:12-17).</w:t>
      </w:r>
      <w:r w:rsidR="00296840">
        <w:rPr>
          <w:rFonts w:ascii="&amp;quot" w:hAnsi="&amp;quot"/>
          <w:color w:val="3E3E3E"/>
        </w:rPr>
        <w:br/>
      </w:r>
      <w:r w:rsidR="00296840">
        <w:rPr>
          <w:rFonts w:ascii="&amp;quot" w:hAnsi="&amp;quot"/>
          <w:i/>
          <w:iCs/>
          <w:color w:val="3E3E3E"/>
        </w:rPr>
        <w:t>                                                                                 - Maurice Montgomery </w:t>
      </w:r>
      <w:r w:rsidR="00296840">
        <w:rPr>
          <w:rFonts w:ascii="&amp;quot" w:hAnsi="&amp;quot"/>
          <w:color w:val="3E3E3E"/>
        </w:rPr>
        <w:br/>
        <w:t> </w:t>
      </w:r>
      <w:r w:rsidR="00296840">
        <w:rPr>
          <w:rFonts w:ascii="&amp;quot" w:hAnsi="&amp;quot"/>
          <w:color w:val="3E3E3E"/>
        </w:rPr>
        <w:br/>
      </w:r>
      <w:r w:rsidR="00296840">
        <w:rPr>
          <w:rFonts w:ascii="&amp;quot" w:hAnsi="&amp;quot"/>
          <w:color w:val="3E3E3E"/>
        </w:rPr>
        <w:br/>
      </w:r>
      <w:r w:rsidR="00296840">
        <w:rPr>
          <w:rFonts w:ascii="&amp;quot" w:hAnsi="&amp;quot"/>
          <w:i/>
          <w:iCs/>
          <w:color w:val="3E3E3E"/>
        </w:rPr>
        <w:t> </w:t>
      </w:r>
      <w:r w:rsidR="00296840">
        <w:rPr>
          <w:rFonts w:ascii="&amp;quot" w:hAnsi="&amp;quot"/>
          <w:color w:val="3E3E3E"/>
        </w:rPr>
        <w:br/>
        <w:t>SOVEREING GRACE</w:t>
      </w:r>
      <w:r w:rsidR="00296840">
        <w:rPr>
          <w:rFonts w:ascii="&amp;quot" w:hAnsi="&amp;quot"/>
          <w:color w:val="3E3E3E"/>
        </w:rPr>
        <w:br/>
        <w:t>            Man’s entire apostasy and death in sin, so that he cannot save himself, and God’s entire supremacy, so that He saves whom He will, are doctrines exceedingly distasteful to human pride.  But they are Scriptural.  Why was one thief saved and the other lost?  </w:t>
      </w:r>
      <w:r w:rsidR="00296840">
        <w:rPr>
          <w:rFonts w:ascii="&amp;quot" w:hAnsi="&amp;quot"/>
          <w:i/>
          <w:iCs/>
          <w:color w:val="3E3E3E"/>
        </w:rPr>
        <w:t>“Even so Father for so it seemed good in Thy sight” (Matt. 11:25-27).  </w:t>
      </w:r>
      <w:r w:rsidR="00296840">
        <w:rPr>
          <w:rFonts w:ascii="&amp;quot" w:hAnsi="&amp;quot"/>
          <w:color w:val="3E3E3E"/>
        </w:rPr>
        <w:t>God was not bound to save the one and He had power enough to have saved the other, and neither could save himself.  What made the difference?  The Sovereign grace of God!     </w:t>
      </w:r>
      <w:r w:rsidR="00296840">
        <w:rPr>
          <w:rFonts w:ascii="&amp;quot" w:hAnsi="&amp;quot"/>
          <w:i/>
          <w:iCs/>
          <w:color w:val="3E3E3E"/>
        </w:rPr>
        <w:t>- Horatius Bonar</w:t>
      </w:r>
      <w:r w:rsidR="00296840">
        <w:rPr>
          <w:rFonts w:ascii="&amp;quot" w:hAnsi="&amp;quot"/>
          <w:i/>
          <w:iCs/>
          <w:color w:val="3E3E3E"/>
        </w:rPr>
        <w:br/>
      </w:r>
      <w:r w:rsidR="00296840">
        <w:rPr>
          <w:rFonts w:ascii="&amp;quot" w:hAnsi="&amp;quot"/>
          <w:i/>
          <w:iCs/>
          <w:color w:val="3E3E3E"/>
        </w:rPr>
        <w:br/>
      </w:r>
    </w:p>
    <w:sectPr w:rsidR="00296840" w:rsidRPr="0029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40"/>
    <w:rsid w:val="00296840"/>
    <w:rsid w:val="007B08CE"/>
    <w:rsid w:val="00D1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80BA"/>
  <w15:chartTrackingRefBased/>
  <w15:docId w15:val="{3EB26606-3293-4291-8D3F-539248C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2019-09-25T18:58:00Z</dcterms:created>
  <dcterms:modified xsi:type="dcterms:W3CDTF">2019-09-25T19:11:00Z</dcterms:modified>
</cp:coreProperties>
</file>